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tm2620529-9_4seq1.xml.htm"/>
      <w:bookmarkStart w:id="1" w:name="kstm26205299_4seq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Krepp Sarah</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419 DAVIS DRIVE, SUITE 100</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MORRISVILLE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NC</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27560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Liquidia Corp</w:t>
              </w:r>
            </w:hyperlink>
            <w:r>
              <w:rPr/>
              <w:t xml:space="preserve"> [ </w:t>
            </w:r>
            <w:r>
              <w:rPr>
                <w:rFonts w:ascii="Times;serif" w:hAnsi="Times;serif"/>
                <w:color w:val="0000FF"/>
                <w:sz w:val="24"/>
                <w:shd w:fill="FFFFFF" w:val="clear"/>
              </w:rPr>
              <w:t>LQDA</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pPr>
                  <w:r>
                    <w:rPr>
                      <w:rFonts w:ascii="Times;serif" w:hAnsi="Times;serif"/>
                      <w:color w:val="0000FF"/>
                      <w:sz w:val="24"/>
                      <w:shd w:fill="FFFFFF" w:val="clear"/>
                    </w:rPr>
                    <w:t>Chief Human Resource Officer</w:t>
                  </w:r>
                  <w:r>
                    <w:rPr/>
                    <w:t xml:space="preserve"> </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07/10/2026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64"/>
        <w:gridCol w:w="905"/>
        <w:gridCol w:w="774"/>
        <w:gridCol w:w="601"/>
        <w:gridCol w:w="348"/>
        <w:gridCol w:w="888"/>
        <w:gridCol w:w="454"/>
        <w:gridCol w:w="755"/>
        <w:gridCol w:w="1195"/>
        <w:gridCol w:w="997"/>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6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9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6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8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6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07/10/2026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3,179</w:t>
            </w:r>
            <w:r>
              <w:rPr>
                <w:rFonts w:ascii="Times;serif" w:hAnsi="Times;serif"/>
                <w:color w:val="008000"/>
                <w:position w:val="7"/>
                <w:sz w:val="16"/>
                <w:sz w:val="20"/>
                <w:shd w:fill="FFFFFF" w:val="clear"/>
              </w:rPr>
              <w:t>(2)</w:t>
            </w:r>
            <w:r>
              <w:rPr/>
              <w:t xml:space="preserve"> </w:t>
            </w:r>
          </w:p>
        </w:tc>
        <w:tc>
          <w:tcPr>
            <w:tcW w:w="4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9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125,042</w:t>
            </w:r>
            <w:r>
              <w:rPr>
                <w:rFonts w:ascii="Times;serif" w:hAnsi="Times;serif"/>
                <w:color w:val="008000"/>
                <w:position w:val="7"/>
                <w:sz w:val="16"/>
                <w:sz w:val="20"/>
                <w:shd w:fill="FFFFFF" w:val="clear"/>
              </w:rPr>
              <w:t>(3)</w:t>
            </w:r>
            <w:r>
              <w:rPr/>
              <w:t xml:space="preserve"> </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6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07/13/2026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(4)</w:t>
            </w:r>
            <w:r>
              <w:rPr/>
              <w:t xml:space="preserve"> </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558</w:t>
            </w:r>
            <w:r>
              <w:rPr>
                <w:rFonts w:ascii="Times;serif" w:hAnsi="Times;serif"/>
                <w:color w:val="008000"/>
                <w:position w:val="7"/>
                <w:sz w:val="16"/>
                <w:sz w:val="20"/>
                <w:shd w:fill="FFFFFF" w:val="clear"/>
              </w:rPr>
              <w:t>(5)</w:t>
            </w:r>
            <w:r>
              <w:rPr/>
              <w:t xml:space="preserve"> </w:t>
            </w:r>
          </w:p>
        </w:tc>
        <w:tc>
          <w:tcPr>
            <w:tcW w:w="4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71.39</w:t>
            </w:r>
            <w:r>
              <w:rPr/>
              <w:t xml:space="preserve"> </w:t>
            </w:r>
          </w:p>
        </w:tc>
        <w:tc>
          <w:tcPr>
            <w:tcW w:w="119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124,484</w:t>
            </w:r>
            <w:r>
              <w:rPr>
                <w:rFonts w:ascii="Times;serif" w:hAnsi="Times;serif"/>
                <w:color w:val="008000"/>
                <w:position w:val="7"/>
                <w:sz w:val="16"/>
                <w:sz w:val="20"/>
                <w:shd w:fill="FFFFFF" w:val="clear"/>
              </w:rPr>
              <w:t>(3)</w:t>
            </w:r>
            <w:r>
              <w:rPr/>
              <w:t xml:space="preserve"> </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6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07/13/2026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(4)</w:t>
            </w:r>
            <w:r>
              <w:rPr/>
              <w:t xml:space="preserve"> </w:t>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7,306</w:t>
            </w:r>
            <w:r>
              <w:rPr>
                <w:rFonts w:ascii="Times;serif" w:hAnsi="Times;serif"/>
                <w:color w:val="008000"/>
                <w:position w:val="7"/>
                <w:sz w:val="16"/>
                <w:sz w:val="20"/>
                <w:shd w:fill="FFFFFF" w:val="clear"/>
              </w:rPr>
              <w:t>(5)</w:t>
            </w:r>
            <w:r>
              <w:rPr/>
              <w:t xml:space="preserve"> </w:t>
            </w:r>
          </w:p>
        </w:tc>
        <w:tc>
          <w:tcPr>
            <w:tcW w:w="45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71.52</w:t>
            </w:r>
            <w:r>
              <w:rPr/>
              <w:t xml:space="preserve"> </w:t>
            </w:r>
          </w:p>
        </w:tc>
        <w:tc>
          <w:tcPr>
            <w:tcW w:w="119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117,178</w:t>
            </w:r>
            <w:r>
              <w:rPr>
                <w:rFonts w:ascii="Times;serif" w:hAnsi="Times;serif"/>
                <w:color w:val="008000"/>
                <w:position w:val="7"/>
                <w:sz w:val="16"/>
                <w:sz w:val="20"/>
                <w:shd w:fill="FFFFFF" w:val="clear"/>
              </w:rPr>
              <w:t>(3)</w:t>
            </w:r>
            <w:r>
              <w:rPr/>
              <w:t xml:space="preserve"> </w:t>
            </w:r>
          </w:p>
        </w:tc>
        <w:tc>
          <w:tcPr>
            <w:tcW w:w="9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149" w:type="dxa"/>
        <w:jc w:val="left"/>
        <w:tblInd w:w="-7" w:type="dxa"/>
        <w:tblLayout w:type="fixed"/>
        <w:tblCellMar>
          <w:top w:w="60" w:type="dxa"/>
          <w:left w:w="60" w:type="dxa"/>
          <w:bottom w:w="60" w:type="dxa"/>
          <w:right w:w="60" w:type="dxa"/>
        </w:tblCellMar>
      </w:tblPr>
      <w:tblGrid>
        <w:gridCol w:w="1160"/>
        <w:gridCol w:w="861"/>
        <w:gridCol w:w="891"/>
        <w:gridCol w:w="771"/>
        <w:gridCol w:w="591"/>
        <w:gridCol w:w="300"/>
        <w:gridCol w:w="276"/>
        <w:gridCol w:w="606"/>
        <w:gridCol w:w="906"/>
        <w:gridCol w:w="801"/>
        <w:gridCol w:w="891"/>
        <w:gridCol w:w="681"/>
        <w:gridCol w:w="801"/>
        <w:gridCol w:w="936"/>
        <w:gridCol w:w="831"/>
        <w:gridCol w:w="846"/>
      </w:tblGrid>
      <w:tr>
        <w:trPr>
          <w:tblHeader w:val="true"/>
        </w:trPr>
        <w:tc>
          <w:tcPr>
            <w:tcW w:w="1214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16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16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16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Performance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07/10/2026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3,179</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3,179</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31,787</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Performance stock units ("PSUs") convert into common stock on a one-for-one basis.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On January 11, 2025, the Reporting Person was granted 50,861 PSUs which vest upon the following time-based vesting schedule: 25% of the PSUs shall vest on January 11, 2026 and the remaining PSUs shall vest ratably on a quarterly basis over three years thereafter. Of those PSUs, a total of 19,074 have vested as of the date of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Includes (i) 21,799 unvested restricted stock units ("RSUs") of the 61,465 RSUs granted to the Reporting Person on January 11, 2024, (ii) 6,229 unvested RSUs of the 12,459 RSUs granted to the Reporting Person on July 1, 2024, (iii) 31,787 unvested RSUs of the 50,861 RSUs granted to the Reporting Person on January 11, 2025, (iv) 18,750 unvested RSUs of the 25,000 RSUs granted to the Reporting Person on July 1, 2025 and (v) 23,728 RSUs granted to the Reporting Person on January 16, 2026, none of which have vested as of the date of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Transaction effected pursuant to a Rule 10b5-1 plan adopted by the Reporting Person on December 15, 2023.</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These shares of common stock were sold to cover taxes associated with the settlement of RSUs and PSUs that were initially granted to the Reporting Person on January 11, 2024, July 1, 2024, January 11, 2025 and July 1, 2025.</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Sarah Krepp</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2074990" TargetMode="External"/><Relationship Id="rId5" Type="http://schemas.openxmlformats.org/officeDocument/2006/relationships/hyperlink" Target="http://www.sec.gov/cgi-bin/browse-edgar?action=getcompany&amp;CIK=000181957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825</Words>
  <Characters>4290</Characters>
  <CharactersWithSpaces>5036</CharactersWithSpaces>
  <Paragraphs>127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