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0001330436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Liquidia Technologies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Liquidia Technologies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419 DAVIS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MORRISVILLE</w:t>
      </w:r>
      <w:r>
        <w:rPr>
          <w:sz w:val="20"/>
          <w:szCs w:val="20"/>
          <w:color w:val="auto"/>
        </w:rPr>
        <w:tab/>
      </w:r>
      <w:r>
        <w:rPr>
          <w:rFonts w:ascii="Arial" w:cs="Arial" w:eastAsia="Arial" w:hAnsi="Arial"/>
          <w:sz w:val="22"/>
          <w:szCs w:val="22"/>
          <w:color w:val="auto"/>
        </w:rPr>
        <w:t>NORTH CAROLINA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100</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27560</w:t>
      </w:r>
      <w:r>
        <w:rPr>
          <w:sz w:val="20"/>
          <w:szCs w:val="20"/>
          <w:color w:val="auto"/>
        </w:rPr>
        <w:tab/>
      </w:r>
      <w:r>
        <w:rPr>
          <w:rFonts w:ascii="Arial" w:cs="Arial" w:eastAsia="Arial" w:hAnsi="Arial"/>
          <w:sz w:val="22"/>
          <w:szCs w:val="22"/>
          <w:color w:val="auto"/>
        </w:rPr>
        <w:t>919-328-4400</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Fowler</w:t>
      </w:r>
      <w:r>
        <w:rPr>
          <w:sz w:val="20"/>
          <w:szCs w:val="20"/>
          <w:color w:val="auto"/>
        </w:rPr>
        <w:tab/>
      </w:r>
      <w:r>
        <w:rPr>
          <w:rFonts w:ascii="Arial" w:cs="Arial" w:eastAsia="Arial" w:hAnsi="Arial"/>
          <w:sz w:val="22"/>
          <w:szCs w:val="22"/>
          <w:color w:val="auto"/>
        </w:rPr>
        <w:t>Neal</w:t>
      </w:r>
      <w:r>
        <w:rPr>
          <w:sz w:val="20"/>
          <w:szCs w:val="20"/>
          <w:color w:val="auto"/>
        </w:rPr>
        <w:tab/>
      </w:r>
      <w:r>
        <w:rPr>
          <w:rFonts w:ascii="Arial" w:cs="Arial" w:eastAsia="Arial" w:hAnsi="Arial"/>
          <w:sz w:val="17"/>
          <w:szCs w:val="17"/>
          <w:color w:val="auto"/>
        </w:rPr>
        <w:t>F.</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Liquidia Technologies, Inc.</w:t>
      </w:r>
      <w:r>
        <w:rPr>
          <w:sz w:val="20"/>
          <w:szCs w:val="20"/>
          <w:color w:val="auto"/>
        </w:rPr>
        <w:tab/>
      </w:r>
      <w:r>
        <w:rPr>
          <w:rFonts w:ascii="Arial" w:cs="Arial" w:eastAsia="Arial" w:hAnsi="Arial"/>
          <w:sz w:val="19"/>
          <w:szCs w:val="19"/>
          <w:color w:val="auto"/>
        </w:rPr>
        <w:t>419 Davis Drive, Suite 100</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Morrisville</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27560</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Albury</w:t>
      </w:r>
      <w:r>
        <w:rPr>
          <w:sz w:val="20"/>
          <w:szCs w:val="20"/>
          <w:color w:val="auto"/>
        </w:rPr>
        <w:tab/>
      </w:r>
      <w:r>
        <w:rPr>
          <w:rFonts w:ascii="Arial" w:cs="Arial" w:eastAsia="Arial" w:hAnsi="Arial"/>
          <w:sz w:val="22"/>
          <w:szCs w:val="22"/>
          <w:color w:val="auto"/>
        </w:rPr>
        <w:t>Timothy</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Liquidia Technologies, Inc.</w:t>
      </w:r>
      <w:r>
        <w:rPr>
          <w:sz w:val="20"/>
          <w:szCs w:val="20"/>
          <w:color w:val="auto"/>
        </w:rPr>
        <w:tab/>
      </w:r>
      <w:r>
        <w:rPr>
          <w:rFonts w:ascii="Arial" w:cs="Arial" w:eastAsia="Arial" w:hAnsi="Arial"/>
          <w:sz w:val="19"/>
          <w:szCs w:val="19"/>
          <w:color w:val="auto"/>
        </w:rPr>
        <w:t>419 Davis Drive, Suite 100</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Morrisville</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27560</w:t>
      </w:r>
    </w:p>
    <w:p>
      <w:pPr>
        <w:spacing w:after="0" w:line="65" w:lineRule="exact"/>
        <w:rPr>
          <w:sz w:val="24"/>
          <w:szCs w:val="24"/>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Gordon</w:t>
            </w:r>
          </w:p>
        </w:tc>
        <w:tc>
          <w:tcPr>
            <w:tcW w:w="760" w:type="dxa"/>
            <w:vAlign w:val="bottom"/>
          </w:tcPr>
          <w:p>
            <w:pPr>
              <w:ind w:left="180"/>
              <w:spacing w:after="0"/>
              <w:rPr>
                <w:sz w:val="20"/>
                <w:szCs w:val="20"/>
                <w:color w:val="auto"/>
              </w:rPr>
            </w:pPr>
            <w:r>
              <w:rPr>
                <w:rFonts w:ascii="Arial" w:cs="Arial" w:eastAsia="Arial" w:hAnsi="Arial"/>
                <w:sz w:val="22"/>
                <w:szCs w:val="22"/>
                <w:color w:val="auto"/>
              </w:rPr>
              <w:t>Kevin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c/o Liquidia Technologies, Inc.</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328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60" w:type="dxa"/>
            <w:vAlign w:val="bottom"/>
          </w:tcPr>
          <w:p>
            <w:pPr>
              <w:ind w:left="4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22"/>
                <w:szCs w:val="22"/>
                <w:color w:val="auto"/>
                <w:w w:val="90"/>
              </w:rPr>
              <w:t>President and Chief Financial Officer</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Lippe</w:t>
            </w:r>
          </w:p>
        </w:tc>
        <w:tc>
          <w:tcPr>
            <w:tcW w:w="760" w:type="dxa"/>
            <w:vAlign w:val="bottom"/>
          </w:tcPr>
          <w:p>
            <w:pPr>
              <w:ind w:left="18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c/o Liquidia Technologies, Inc.</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328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60" w:type="dxa"/>
            <w:vAlign w:val="bottom"/>
          </w:tcPr>
          <w:p>
            <w:pPr>
              <w:ind w:left="4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3280" w:type="dxa"/>
            <w:vAlign w:val="bottom"/>
          </w:tcPr>
          <w:p>
            <w:pPr>
              <w:spacing w:after="0"/>
              <w:rPr>
                <w:sz w:val="20"/>
                <w:szCs w:val="20"/>
                <w:color w:val="auto"/>
              </w:rPr>
            </w:pPr>
            <w:r>
              <w:rPr>
                <w:rFonts w:ascii="Arial" w:cs="Arial" w:eastAsia="Arial" w:hAnsi="Arial"/>
                <w:sz w:val="22"/>
                <w:szCs w:val="22"/>
                <w:color w:val="auto"/>
              </w:rPr>
              <w:t>Chief Operations Officer</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Maynor</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Benjamin</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c/o Liquidia Technologies, Inc.</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328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60" w:type="dxa"/>
            <w:vAlign w:val="bottom"/>
          </w:tcPr>
          <w:p>
            <w:pPr>
              <w:ind w:left="4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Senior Vice President, Research and Development</w:t>
            </w:r>
          </w:p>
        </w:tc>
        <w:tc>
          <w:tcPr>
            <w:tcW w:w="4880" w:type="dxa"/>
            <w:vAlign w:val="bottom"/>
          </w:tcPr>
          <w:p>
            <w:pPr>
              <w:spacing w:after="0"/>
              <w:rPr>
                <w:sz w:val="24"/>
                <w:szCs w:val="24"/>
                <w:color w:val="auto"/>
              </w:rPr>
            </w:pPr>
          </w:p>
        </w:tc>
      </w:tr>
      <w:tr>
        <w:trPr>
          <w:trHeight w:val="105"/>
        </w:trPr>
        <w:tc>
          <w:tcPr>
            <w:tcW w:w="3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Roscigno</w:t>
            </w:r>
          </w:p>
        </w:tc>
        <w:tc>
          <w:tcPr>
            <w:tcW w:w="760" w:type="dxa"/>
            <w:vAlign w:val="bottom"/>
          </w:tcPr>
          <w:p>
            <w:pPr>
              <w:ind w:left="18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c/o Liquidia Technologies, Inc.</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328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760" w:type="dxa"/>
            <w:vAlign w:val="bottom"/>
          </w:tcPr>
          <w:p>
            <w:pPr>
              <w:ind w:left="4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4040" w:type="dxa"/>
            <w:vAlign w:val="bottom"/>
            <w:gridSpan w:val="2"/>
          </w:tcPr>
          <w:p>
            <w:pPr>
              <w:spacing w:after="0"/>
              <w:rPr>
                <w:sz w:val="20"/>
                <w:szCs w:val="20"/>
                <w:color w:val="auto"/>
              </w:rPr>
            </w:pPr>
            <w:r>
              <w:rPr>
                <w:rFonts w:ascii="Arial" w:cs="Arial" w:eastAsia="Arial" w:hAnsi="Arial"/>
                <w:sz w:val="22"/>
                <w:szCs w:val="22"/>
                <w:color w:val="auto"/>
                <w:w w:val="92"/>
              </w:rPr>
              <w:t>Senior Vice President, Product Development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05"/>
        </w:trPr>
        <w:tc>
          <w:tcPr>
            <w:tcW w:w="3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Rudnick</w:t>
            </w:r>
          </w:p>
        </w:tc>
        <w:tc>
          <w:tcPr>
            <w:tcW w:w="760" w:type="dxa"/>
            <w:vAlign w:val="bottom"/>
          </w:tcPr>
          <w:p>
            <w:pPr>
              <w:ind w:left="180"/>
              <w:spacing w:after="0"/>
              <w:rPr>
                <w:sz w:val="20"/>
                <w:szCs w:val="20"/>
                <w:color w:val="auto"/>
              </w:rPr>
            </w:pPr>
            <w:r>
              <w:rPr>
                <w:rFonts w:ascii="Arial" w:cs="Arial" w:eastAsia="Arial" w:hAnsi="Arial"/>
                <w:sz w:val="22"/>
                <w:szCs w:val="22"/>
                <w:color w:val="auto"/>
              </w:rPr>
              <w:t>Seth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c/o Liquidia Technologies, Inc.</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-7710805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-7710805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-5618480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-5618480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-3526155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-3526155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420"/>
          </w:cols>
          <w:pgMar w:left="240" w:top="118" w:right="239" w:bottom="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Bloch</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jc w:val="center"/>
              <w:ind w:right="952"/>
              <w:spacing w:after="0"/>
              <w:rPr>
                <w:sz w:val="20"/>
                <w:szCs w:val="20"/>
                <w:color w:val="auto"/>
              </w:rPr>
            </w:pPr>
            <w:r>
              <w:rPr>
                <w:rFonts w:ascii="Arial" w:cs="Arial" w:eastAsia="Arial" w:hAnsi="Arial"/>
                <w:sz w:val="22"/>
                <w:szCs w:val="22"/>
                <w:b w:val="1"/>
                <w:bCs w:val="1"/>
                <w:color w:val="auto"/>
                <w:w w:val="96"/>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Cheng</w:t>
            </w:r>
          </w:p>
        </w:tc>
        <w:tc>
          <w:tcPr>
            <w:tcW w:w="170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22"/>
                <w:szCs w:val="22"/>
                <w:color w:val="auto"/>
              </w:rPr>
              <w:t>Isaac</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jc w:val="center"/>
              <w:ind w:right="952"/>
              <w:spacing w:after="0"/>
              <w:rPr>
                <w:sz w:val="20"/>
                <w:szCs w:val="20"/>
                <w:color w:val="auto"/>
              </w:rPr>
            </w:pPr>
            <w:r>
              <w:rPr>
                <w:rFonts w:ascii="Arial" w:cs="Arial" w:eastAsia="Arial" w:hAnsi="Arial"/>
                <w:sz w:val="22"/>
                <w:szCs w:val="22"/>
                <w:b w:val="1"/>
                <w:bCs w:val="1"/>
                <w:color w:val="auto"/>
                <w:w w:val="96"/>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Kirsch</w:t>
            </w:r>
          </w:p>
        </w:tc>
        <w:tc>
          <w:tcPr>
            <w:tcW w:w="170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jc w:val="center"/>
              <w:ind w:right="952"/>
              <w:spacing w:after="0"/>
              <w:rPr>
                <w:sz w:val="20"/>
                <w:szCs w:val="20"/>
                <w:color w:val="auto"/>
              </w:rPr>
            </w:pPr>
            <w:r>
              <w:rPr>
                <w:rFonts w:ascii="Arial" w:cs="Arial" w:eastAsia="Arial" w:hAnsi="Arial"/>
                <w:sz w:val="22"/>
                <w:szCs w:val="22"/>
                <w:b w:val="1"/>
                <w:bCs w:val="1"/>
                <w:color w:val="auto"/>
                <w:w w:val="96"/>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Mathers</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Edward</w:t>
            </w:r>
          </w:p>
        </w:tc>
        <w:tc>
          <w:tcPr>
            <w:tcW w:w="4880" w:type="dxa"/>
            <w:vAlign w:val="bottom"/>
          </w:tcPr>
          <w:p>
            <w:pPr>
              <w:spacing w:after="0"/>
              <w:rPr>
                <w:sz w:val="24"/>
                <w:szCs w:val="24"/>
                <w:color w:val="auto"/>
              </w:rPr>
            </w:pP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jc w:val="center"/>
              <w:ind w:right="952"/>
              <w:spacing w:after="0"/>
              <w:rPr>
                <w:sz w:val="20"/>
                <w:szCs w:val="20"/>
                <w:color w:val="auto"/>
              </w:rPr>
            </w:pPr>
            <w:r>
              <w:rPr>
                <w:rFonts w:ascii="Arial" w:cs="Arial" w:eastAsia="Arial" w:hAnsi="Arial"/>
                <w:sz w:val="22"/>
                <w:szCs w:val="22"/>
                <w:b w:val="1"/>
                <w:bCs w:val="1"/>
                <w:color w:val="auto"/>
                <w:w w:val="96"/>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Rushton</w:t>
            </w:r>
          </w:p>
        </w:tc>
        <w:tc>
          <w:tcPr>
            <w:tcW w:w="170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22"/>
                <w:szCs w:val="22"/>
                <w:color w:val="auto"/>
                <w:w w:val="95"/>
              </w:rPr>
              <w:t>Jason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jc w:val="center"/>
              <w:ind w:right="952"/>
              <w:spacing w:after="0"/>
              <w:rPr>
                <w:sz w:val="20"/>
                <w:szCs w:val="20"/>
                <w:color w:val="auto"/>
              </w:rPr>
            </w:pPr>
            <w:r>
              <w:rPr>
                <w:rFonts w:ascii="Arial" w:cs="Arial" w:eastAsia="Arial" w:hAnsi="Arial"/>
                <w:sz w:val="22"/>
                <w:szCs w:val="22"/>
                <w:b w:val="1"/>
                <w:bCs w:val="1"/>
                <w:color w:val="auto"/>
                <w:w w:val="96"/>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ind w:left="320"/>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Singh</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Raman</w:t>
            </w:r>
          </w:p>
        </w:tc>
        <w:tc>
          <w:tcPr>
            <w:tcW w:w="4880" w:type="dxa"/>
            <w:vAlign w:val="bottom"/>
          </w:tcPr>
          <w:p>
            <w:pPr>
              <w:spacing w:after="0"/>
              <w:rPr>
                <w:sz w:val="24"/>
                <w:szCs w:val="24"/>
                <w:color w:val="auto"/>
              </w:rPr>
            </w:pPr>
          </w:p>
        </w:tc>
      </w:tr>
      <w:tr>
        <w:trPr>
          <w:trHeight w:val="297"/>
        </w:trPr>
        <w:tc>
          <w:tcPr>
            <w:tcW w:w="31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-8328660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-8328660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-6458585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-6458585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-4589145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-4589145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-2719705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-2719705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-850265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-850265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0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Snyderman</w:t>
            </w:r>
          </w:p>
        </w:tc>
        <w:tc>
          <w:tcPr>
            <w:tcW w:w="170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Arial" w:cs="Arial" w:eastAsia="Arial" w:hAnsi="Arial"/>
                <w:sz w:val="22"/>
                <w:szCs w:val="22"/>
                <w:color w:val="auto"/>
                <w:w w:val="97"/>
              </w:rPr>
              <w:t>Ralph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9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00" w:type="dxa"/>
            <w:vAlign w:val="bottom"/>
            <w:gridSpan w:val="2"/>
          </w:tcPr>
          <w:p>
            <w:pPr>
              <w:ind w:left="40"/>
              <w:spacing w:after="0"/>
              <w:rPr>
                <w:sz w:val="20"/>
                <w:szCs w:val="20"/>
                <w:color w:val="auto"/>
              </w:rPr>
            </w:pPr>
            <w:r>
              <w:rPr>
                <w:rFonts w:ascii="Arial" w:cs="Arial" w:eastAsia="Arial" w:hAnsi="Arial"/>
                <w:sz w:val="22"/>
                <w:szCs w:val="22"/>
                <w:color w:val="auto"/>
              </w:rPr>
              <w:t>c/o Liquidia Technologies, Inc.</w:t>
            </w: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419 Davis Drive, Suite 100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9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Morrisville</w:t>
            </w:r>
          </w:p>
        </w:tc>
        <w:tc>
          <w:tcPr>
            <w:tcW w:w="1700" w:type="dxa"/>
            <w:vAlign w:val="bottom"/>
          </w:tcPr>
          <w:p>
            <w:pPr>
              <w:spacing w:after="0"/>
              <w:rPr>
                <w:sz w:val="24"/>
                <w:szCs w:val="24"/>
                <w:color w:val="auto"/>
              </w:rPr>
            </w:pPr>
          </w:p>
        </w:tc>
        <w:tc>
          <w:tcPr>
            <w:tcW w:w="3440" w:type="dxa"/>
            <w:vAlign w:val="bottom"/>
            <w:gridSpan w:val="2"/>
          </w:tcPr>
          <w:p>
            <w:pPr>
              <w:ind w:left="360"/>
              <w:spacing w:after="0"/>
              <w:rPr>
                <w:sz w:val="20"/>
                <w:szCs w:val="20"/>
                <w:color w:val="auto"/>
              </w:rPr>
            </w:pPr>
            <w:r>
              <w:rPr>
                <w:rFonts w:ascii="Arial" w:cs="Arial" w:eastAsia="Arial" w:hAnsi="Arial"/>
                <w:sz w:val="22"/>
                <w:szCs w:val="22"/>
                <w:color w:val="auto"/>
              </w:rPr>
              <w:t>NORTH CAROLINA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27560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60" w:type="dxa"/>
            <w:vAlign w:val="bottom"/>
            <w:gridSpan w:val="2"/>
          </w:tcPr>
          <w:p>
            <w:pPr>
              <w:spacing w:after="0"/>
              <w:rPr>
                <w:sz w:val="20"/>
                <w:szCs w:val="20"/>
                <w:color w:val="auto"/>
              </w:rPr>
            </w:pPr>
            <w:r>
              <w:rPr>
                <w:rFonts w:ascii="Arial" w:cs="Arial" w:eastAsia="Arial" w:hAnsi="Arial"/>
                <w:sz w:val="22"/>
                <w:szCs w:val="22"/>
                <w:color w:val="auto"/>
                <w:w w:val="93"/>
              </w:rPr>
              <w:t>5. Issuer Size</w:t>
            </w:r>
          </w:p>
        </w:tc>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0" w:type="dxa"/>
            <w:vAlign w:val="bottom"/>
          </w:tcPr>
          <w:p>
            <w:pPr>
              <w:spacing w:after="0"/>
              <w:rPr>
                <w:sz w:val="24"/>
                <w:szCs w:val="24"/>
                <w:color w:val="auto"/>
              </w:rPr>
            </w:pPr>
          </w:p>
        </w:tc>
        <w:tc>
          <w:tcPr>
            <w:tcW w:w="2520" w:type="dxa"/>
            <w:vAlign w:val="bottom"/>
            <w:gridSpan w:val="2"/>
          </w:tcPr>
          <w:p>
            <w:pPr>
              <w:ind w:left="280"/>
              <w:spacing w:after="0"/>
              <w:rPr>
                <w:sz w:val="20"/>
                <w:szCs w:val="20"/>
                <w:color w:val="auto"/>
              </w:rPr>
            </w:pPr>
            <w:r>
              <w:rPr>
                <w:rFonts w:ascii="Arial" w:cs="Arial" w:eastAsia="Arial" w:hAnsi="Arial"/>
                <w:sz w:val="22"/>
                <w:szCs w:val="22"/>
                <w:b w:val="1"/>
                <w:bCs w:val="1"/>
                <w:color w:val="auto"/>
              </w:rPr>
              <w:t>Revenue Range</w:t>
            </w:r>
          </w:p>
        </w:tc>
        <w:tc>
          <w:tcPr>
            <w:tcW w:w="680" w:type="dxa"/>
            <w:vAlign w:val="bottom"/>
          </w:tcPr>
          <w:p>
            <w:pPr>
              <w:ind w:left="360"/>
              <w:spacing w:after="0"/>
              <w:rPr>
                <w:sz w:val="20"/>
                <w:szCs w:val="20"/>
                <w:color w:val="auto"/>
              </w:rPr>
            </w:pPr>
            <w:r>
              <w:rPr>
                <w:rFonts w:ascii="Arial" w:cs="Arial" w:eastAsia="Arial" w:hAnsi="Arial"/>
                <w:sz w:val="22"/>
                <w:szCs w:val="22"/>
                <w:b w:val="1"/>
                <w:bCs w:val="1"/>
                <w:color w:val="auto"/>
                <w:w w:val="90"/>
              </w:rPr>
              <w:t>OR</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No Revenues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$1 - $1,000,000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8"/>
              </w:rPr>
              <w:t>$1,000,001</w:t>
            </w:r>
          </w:p>
        </w:tc>
        <w:tc>
          <w:tcPr>
            <w:tcW w:w="1500" w:type="dxa"/>
            <w:vAlign w:val="bottom"/>
          </w:tcPr>
          <w:p>
            <w:pPr>
              <w:ind w:left="40"/>
              <w:spacing w:after="0"/>
              <w:rPr>
                <w:sz w:val="20"/>
                <w:szCs w:val="20"/>
                <w:color w:val="auto"/>
              </w:rPr>
            </w:pPr>
            <w:r>
              <w:rPr>
                <w:rFonts w:ascii="Arial" w:cs="Arial" w:eastAsia="Arial" w:hAnsi="Arial"/>
                <w:sz w:val="22"/>
                <w:szCs w:val="22"/>
                <w:color w:val="auto"/>
              </w:rPr>
              <w:t>- $5,000,000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4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1020" w:type="dxa"/>
            <w:vAlign w:val="bottom"/>
          </w:tcPr>
          <w:p>
            <w:pPr>
              <w:ind w:left="20"/>
              <w:spacing w:after="0"/>
              <w:rPr>
                <w:sz w:val="20"/>
                <w:szCs w:val="20"/>
                <w:color w:val="auto"/>
              </w:rPr>
            </w:pPr>
            <w:r>
              <w:rPr>
                <w:rFonts w:ascii="Arial" w:cs="Arial" w:eastAsia="Arial" w:hAnsi="Arial"/>
                <w:sz w:val="22"/>
                <w:szCs w:val="22"/>
                <w:color w:val="auto"/>
                <w:w w:val="88"/>
              </w:rPr>
              <w:t>$5,000,001</w:t>
            </w:r>
          </w:p>
        </w:tc>
        <w:tc>
          <w:tcPr>
            <w:tcW w:w="1500" w:type="dxa"/>
            <w:vAlign w:val="bottom"/>
          </w:tcPr>
          <w:p>
            <w:pPr>
              <w:ind w:left="40"/>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0" w:type="dxa"/>
            <w:vAlign w:val="bottom"/>
            <w:vMerge w:val="continue"/>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$25,000,000</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2"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1420"/>
          </w:cols>
          <w:pgMar w:left="240" w:top="112" w:right="239" w:bottom="0" w:gutter="0" w:footer="0" w:header="0"/>
          <w:type w:val="continuous"/>
        </w:sectPr>
      </w:pPr>
    </w:p>
    <w:bookmarkStart w:id="4" w:name="page5"/>
    <w:bookmarkEnd w:id="4"/>
    <w:p>
      <w:pPr>
        <w:ind w:left="4660"/>
        <w:spacing w:after="0"/>
        <w:rPr>
          <w:sz w:val="20"/>
          <w:szCs w:val="20"/>
          <w:color w:val="auto"/>
        </w:rPr>
      </w:pPr>
      <w:r>
        <w:rPr>
          <w:rFonts w:ascii="Arial" w:cs="Arial" w:eastAsia="Arial" w:hAnsi="Arial"/>
          <w:sz w:val="19"/>
          <w:szCs w:val="19"/>
          <w:color w:val="auto"/>
        </w:rPr>
        <w:t>Investment Company Act Section 3(c)</w:t>
      </w:r>
    </w:p>
    <w:p>
      <w:pPr>
        <w:sectPr>
          <w:pgSz w:w="11900" w:h="16838" w:orient="portrait"/>
          <w:cols w:equalWidth="0" w:num="1">
            <w:col w:w="11420"/>
          </w:cols>
          <w:pgMar w:left="240" w:top="240" w:right="239" w:bottom="0" w:gutter="0" w:footer="0" w:header="0"/>
        </w:sect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80"/>
          </w:cols>
          <w:pgMar w:left="240" w:top="240" w:right="23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2018-02-02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w w:val="99"/>
              </w:rPr>
              <w:t>Pooled Investment Fund Interests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Tenant-in-Common Securities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80" w:type="dxa"/>
            <w:vAlign w:val="bottom"/>
            <w:gridSpan w:val="4"/>
          </w:tcPr>
          <w:p>
            <w:pPr>
              <w:ind w:left="260"/>
              <w:spacing w:after="0"/>
              <w:rPr>
                <w:sz w:val="20"/>
                <w:szCs w:val="20"/>
                <w:color w:val="auto"/>
              </w:rPr>
            </w:pPr>
            <w:r>
              <w:rPr>
                <w:rFonts w:ascii="Arial" w:cs="Arial" w:eastAsia="Arial" w:hAnsi="Arial"/>
                <w:sz w:val="22"/>
                <w:szCs w:val="22"/>
                <w:color w:val="auto"/>
                <w:w w:val="97"/>
              </w:rPr>
              <w:t>Option, Warrant or Other Right to Acquire Another Security</w:t>
            </w:r>
          </w:p>
        </w:tc>
        <w:tc>
          <w:tcPr>
            <w:tcW w:w="3340" w:type="dxa"/>
            <w:vAlign w:val="bottom"/>
            <w:gridSpan w:val="2"/>
          </w:tcPr>
          <w:p>
            <w:pPr>
              <w:ind w:left="40"/>
              <w:spacing w:after="0"/>
              <w:rPr>
                <w:sz w:val="20"/>
                <w:szCs w:val="20"/>
                <w:color w:val="auto"/>
              </w:rPr>
            </w:pPr>
            <w:r>
              <w:rPr>
                <w:rFonts w:ascii="Arial" w:cs="Arial" w:eastAsia="Arial" w:hAnsi="Arial"/>
                <w:sz w:val="22"/>
                <w:szCs w:val="22"/>
                <w:color w:val="auto"/>
              </w:rPr>
              <w:t>Mineral Property Securities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80" w:type="dxa"/>
            <w:vAlign w:val="bottom"/>
            <w:gridSpan w:val="4"/>
          </w:tcPr>
          <w:p>
            <w:pPr>
              <w:ind w:left="260"/>
              <w:spacing w:after="0"/>
              <w:rPr>
                <w:sz w:val="20"/>
                <w:szCs w:val="20"/>
                <w:color w:val="auto"/>
              </w:rPr>
            </w:pPr>
            <w:r>
              <w:rPr>
                <w:rFonts w:ascii="Arial" w:cs="Arial" w:eastAsia="Arial" w:hAnsi="Arial"/>
                <w:sz w:val="22"/>
                <w:szCs w:val="22"/>
                <w:color w:val="auto"/>
                <w:w w:val="95"/>
              </w:rPr>
              <w:t>Security to be Acquired Upon Exercise of Option, Warrant or</w:t>
            </w:r>
          </w:p>
        </w:tc>
        <w:tc>
          <w:tcPr>
            <w:tcW w:w="2220" w:type="dxa"/>
            <w:vAlign w:val="bottom"/>
            <w:vMerge w:val="restart"/>
          </w:tcPr>
          <w:p>
            <w:pPr>
              <w:ind w:left="40"/>
              <w:spacing w:after="0"/>
              <w:rPr>
                <w:sz w:val="20"/>
                <w:szCs w:val="20"/>
                <w:color w:val="auto"/>
              </w:rPr>
            </w:pPr>
            <w:r>
              <w:rPr>
                <w:rFonts w:ascii="Arial" w:cs="Arial" w:eastAsia="Arial" w:hAnsi="Arial"/>
                <w:sz w:val="22"/>
                <w:szCs w:val="22"/>
                <w:color w:val="auto"/>
              </w:rPr>
              <w:t>Other (describe)</w:t>
            </w:r>
          </w:p>
        </w:tc>
        <w:tc>
          <w:tcPr>
            <w:tcW w:w="1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0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1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80" w:type="dxa"/>
            <w:vAlign w:val="bottom"/>
            <w:gridSpan w:val="4"/>
          </w:tcPr>
          <w:p>
            <w:pPr>
              <w:ind w:left="40"/>
              <w:spacing w:after="0"/>
              <w:rPr>
                <w:sz w:val="20"/>
                <w:szCs w:val="20"/>
                <w:color w:val="auto"/>
              </w:rPr>
            </w:pPr>
            <w:r>
              <w:rPr>
                <w:rFonts w:ascii="Arial" w:cs="Arial" w:eastAsia="Arial" w:hAnsi="Arial"/>
                <w:sz w:val="22"/>
                <w:szCs w:val="22"/>
                <w:color w:val="auto"/>
                <w:w w:val="92"/>
              </w:rPr>
              <w:t>Minimum investment accepted from any outside investor $1 USD</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gridSpan w:val="2"/>
          </w:tcPr>
          <w:p>
            <w:pPr>
              <w:ind w:left="800"/>
              <w:spacing w:after="0"/>
              <w:rPr>
                <w:sz w:val="20"/>
                <w:szCs w:val="20"/>
                <w:color w:val="auto"/>
              </w:rPr>
            </w:pPr>
            <w:r>
              <w:rPr>
                <w:rFonts w:ascii="Arial" w:cs="Arial" w:eastAsia="Arial" w:hAnsi="Arial"/>
                <w:sz w:val="22"/>
                <w:szCs w:val="22"/>
                <w:color w:val="auto"/>
                <w:w w:val="96"/>
              </w:rPr>
              <w:t>Recipient CRD Number  None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David B. Loucks</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gridSpan w:val="2"/>
          </w:tcPr>
          <w:p>
            <w:pPr>
              <w:ind w:left="760"/>
              <w:spacing w:after="0"/>
              <w:rPr>
                <w:sz w:val="20"/>
                <w:szCs w:val="20"/>
                <w:color w:val="auto"/>
              </w:rPr>
            </w:pPr>
            <w:r>
              <w:rPr>
                <w:rFonts w:ascii="Arial" w:cs="Arial" w:eastAsia="Arial" w:hAnsi="Arial"/>
                <w:sz w:val="22"/>
                <w:szCs w:val="22"/>
                <w:color w:val="auto"/>
              </w:rPr>
              <w:t>2593163</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None</w:t>
            </w:r>
          </w:p>
        </w:tc>
        <w:tc>
          <w:tcPr>
            <w:tcW w:w="300" w:type="dxa"/>
            <w:vAlign w:val="bottom"/>
          </w:tcPr>
          <w:p>
            <w:pPr>
              <w:spacing w:after="0"/>
              <w:rPr>
                <w:sz w:val="24"/>
                <w:szCs w:val="24"/>
                <w:color w:val="auto"/>
              </w:rPr>
            </w:pPr>
          </w:p>
        </w:tc>
        <w:tc>
          <w:tcPr>
            <w:tcW w:w="4780" w:type="dxa"/>
            <w:vAlign w:val="bottom"/>
            <w:gridSpan w:val="3"/>
          </w:tcPr>
          <w:p>
            <w:pPr>
              <w:ind w:left="80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Healthios Capital Markets, LLC</w:t>
            </w:r>
          </w:p>
        </w:tc>
        <w:tc>
          <w:tcPr>
            <w:tcW w:w="300" w:type="dxa"/>
            <w:vAlign w:val="bottom"/>
          </w:tcPr>
          <w:p>
            <w:pPr>
              <w:spacing w:after="0"/>
              <w:rPr>
                <w:sz w:val="24"/>
                <w:szCs w:val="24"/>
                <w:color w:val="auto"/>
              </w:rPr>
            </w:pPr>
          </w:p>
        </w:tc>
        <w:tc>
          <w:tcPr>
            <w:tcW w:w="1440" w:type="dxa"/>
            <w:vAlign w:val="bottom"/>
          </w:tcPr>
          <w:p>
            <w:pPr>
              <w:ind w:left="760"/>
              <w:spacing w:after="0"/>
              <w:rPr>
                <w:sz w:val="20"/>
                <w:szCs w:val="20"/>
                <w:color w:val="auto"/>
              </w:rPr>
            </w:pPr>
            <w:r>
              <w:rPr>
                <w:rFonts w:ascii="Arial" w:cs="Arial" w:eastAsia="Arial" w:hAnsi="Arial"/>
                <w:sz w:val="22"/>
                <w:szCs w:val="22"/>
                <w:color w:val="auto"/>
                <w:w w:val="89"/>
              </w:rPr>
              <w:t>115542</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40" w:type="dxa"/>
            <w:vAlign w:val="bottom"/>
            <w:gridSpan w:val="2"/>
          </w:tcPr>
          <w:p>
            <w:pPr>
              <w:ind w:left="90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w w:val="97"/>
              </w:rPr>
              <w:t>5250 Old Orchard Road</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Skokie</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gridSpan w:val="2"/>
          </w:tcPr>
          <w:p>
            <w:pPr>
              <w:ind w:left="760"/>
              <w:spacing w:after="0"/>
              <w:rPr>
                <w:sz w:val="20"/>
                <w:szCs w:val="20"/>
                <w:color w:val="auto"/>
              </w:rPr>
            </w:pPr>
            <w:r>
              <w:rPr>
                <w:rFonts w:ascii="Arial" w:cs="Arial" w:eastAsia="Arial" w:hAnsi="Arial"/>
                <w:sz w:val="22"/>
                <w:szCs w:val="22"/>
                <w:color w:val="auto"/>
              </w:rPr>
              <w:t>ILLINOIS</w:t>
            </w: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rPr>
              <w:t>60077</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6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X Foreign/non-US</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60" w:type="dxa"/>
            <w:vAlign w:val="bottom"/>
            <w:gridSpan w:val="3"/>
            <w:vMerge w:val="continue"/>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4140" w:type="dxa"/>
            <w:vAlign w:val="bottom"/>
            <w:tcBorders>
              <w:bottom w:val="single" w:sz="8" w:color="9A9A9A"/>
            </w:tcBorders>
            <w:gridSpan w:val="2"/>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222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22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$53,312,680 USD or</w:t>
            </w:r>
          </w:p>
        </w:tc>
        <w:tc>
          <w:tcPr>
            <w:tcW w:w="14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140"/>
              <w:spacing w:after="0"/>
              <w:rPr>
                <w:sz w:val="20"/>
                <w:szCs w:val="20"/>
                <w:color w:val="auto"/>
              </w:rPr>
            </w:pPr>
            <w:r>
              <w:rPr>
                <w:rFonts w:ascii="Arial" w:cs="Arial" w:eastAsia="Arial" w:hAnsi="Arial"/>
                <w:sz w:val="22"/>
                <w:szCs w:val="22"/>
                <w:color w:val="auto"/>
                <w:w w:val="93"/>
              </w:rPr>
              <w:t>$25,500,000 USD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$27,812,680 USD or</w:t>
            </w:r>
          </w:p>
        </w:tc>
        <w:tc>
          <w:tcPr>
            <w:tcW w:w="14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40"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Includes up to $27,812,860 of Series D Preferred Stock offered to stockholders in a rights offering. Excludes the conversion into Series D Preferred Stock of an aggregate amount of $28,877,496 underlying convertible notes issued to accredited investors.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$400,000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None other than executive officers in their roles as employees.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272020" cy="408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08940"/>
                    </a:xfrm>
                    <a:prstGeom prst="rect">
                      <a:avLst/>
                    </a:prstGeom>
                    <a:noFill/>
                  </pic:spPr>
                </pic:pic>
              </a:graphicData>
            </a:graphic>
          </wp:anchor>
        </w:drawing>
      </w:r>
    </w:p>
    <w:p>
      <w:pPr>
        <w:spacing w:after="0" w:line="193" w:lineRule="exact"/>
        <w:rPr>
          <w:sz w:val="20"/>
          <w:szCs w:val="20"/>
          <w:color w:val="auto"/>
        </w:rPr>
      </w:pPr>
    </w:p>
    <w:p>
      <w:pPr>
        <w:ind w:left="1100"/>
        <w:spacing w:after="0"/>
        <w:tabs>
          <w:tab w:leader="none" w:pos="2669"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sz w:val="1"/>
          <w:szCs w:val="1"/>
          <w:color w:val="auto"/>
        </w:rPr>
        <w:drawing>
          <wp:inline distT="0" distB="0" distL="0" distR="0">
            <wp:extent cx="59690" cy="2139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Signature    </w:t>
      </w:r>
      <w:r>
        <w:rPr>
          <w:sz w:val="1"/>
          <w:szCs w:val="1"/>
          <w:color w:val="auto"/>
        </w:rPr>
        <w:drawing>
          <wp:inline distT="0" distB="0" distL="0" distR="0">
            <wp:extent cx="59690" cy="2139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Name of Signer </w:t>
      </w:r>
      <w:r>
        <w:rPr>
          <w:sz w:val="1"/>
          <w:szCs w:val="1"/>
          <w:color w:val="auto"/>
        </w:rPr>
        <w:drawing>
          <wp:inline distT="0" distB="0" distL="0" distR="0">
            <wp:extent cx="59690"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Title              </w:t>
      </w:r>
      <w:r>
        <w:rPr>
          <w:sz w:val="1"/>
          <w:szCs w:val="1"/>
          <w:color w:val="auto"/>
        </w:rPr>
        <w:drawing>
          <wp:inline distT="0" distB="0" distL="0" distR="0">
            <wp:extent cx="59690" cy="2139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22"/>
          <w:szCs w:val="22"/>
          <w:b w:val="1"/>
          <w:bCs w:val="1"/>
          <w:color w:val="auto"/>
        </w:rPr>
        <w:t xml:space="preserve">   Date</w:t>
      </w:r>
    </w:p>
    <w:p>
      <w:pPr>
        <w:sectPr>
          <w:pgSz w:w="11900" w:h="16838" w:orient="portrait"/>
          <w:cols w:equalWidth="0" w:num="1">
            <w:col w:w="11380"/>
          </w:cols>
          <w:pgMar w:left="240" w:top="118" w:right="27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5"/>
              </w:rPr>
              <w:t>Name of Signer</w:t>
            </w:r>
          </w:p>
        </w:tc>
        <w:tc>
          <w:tcPr>
            <w:tcW w:w="40" w:type="dxa"/>
            <w:vAlign w:val="bottom"/>
          </w:tcPr>
          <w:p>
            <w:pPr>
              <w:spacing w:after="0"/>
              <w:rPr>
                <w:sz w:val="24"/>
                <w:szCs w:val="24"/>
                <w:color w:val="auto"/>
              </w:rPr>
            </w:pPr>
          </w:p>
        </w:tc>
        <w:tc>
          <w:tcPr>
            <w:tcW w:w="3780" w:type="dxa"/>
            <w:vAlign w:val="bottom"/>
            <w:tcBorders>
              <w:top w:val="single" w:sz="8" w:color="2C2C2C"/>
              <w:bottom w:val="single" w:sz="8" w:color="808080"/>
            </w:tcBorders>
          </w:tcPr>
          <w:p>
            <w:pPr>
              <w:ind w:left="16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Liquidia Technologies Inc</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Kevin Gordon</w:t>
            </w: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Kevin Gordon</w:t>
            </w:r>
          </w:p>
        </w:tc>
        <w:tc>
          <w:tcPr>
            <w:tcW w:w="40" w:type="dxa"/>
            <w:vAlign w:val="bottom"/>
          </w:tcPr>
          <w:p>
            <w:pPr>
              <w:spacing w:after="0"/>
              <w:rPr>
                <w:sz w:val="22"/>
                <w:szCs w:val="22"/>
                <w:color w:val="auto"/>
              </w:rPr>
            </w:pPr>
          </w:p>
        </w:tc>
        <w:tc>
          <w:tcPr>
            <w:tcW w:w="3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Financial Officer</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jc w:val="right"/>
              <w:ind w:right="92"/>
              <w:spacing w:after="0"/>
              <w:rPr>
                <w:sz w:val="20"/>
                <w:szCs w:val="20"/>
                <w:color w:val="auto"/>
              </w:rPr>
            </w:pPr>
            <w:r>
              <w:rPr>
                <w:rFonts w:ascii="Arial" w:cs="Arial" w:eastAsia="Arial" w:hAnsi="Arial"/>
                <w:sz w:val="22"/>
                <w:szCs w:val="22"/>
                <w:color w:val="auto"/>
                <w:w w:val="90"/>
              </w:rPr>
              <w:t>2018-02-20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9690" cy="450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1859915</wp:posOffset>
            </wp:positionH>
            <wp:positionV relativeFrom="page">
              <wp:posOffset>93345</wp:posOffset>
            </wp:positionV>
            <wp:extent cx="59690" cy="419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3017520</wp:posOffset>
            </wp:positionH>
            <wp:positionV relativeFrom="page">
              <wp:posOffset>93345</wp:posOffset>
            </wp:positionV>
            <wp:extent cx="59690" cy="419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4123690</wp:posOffset>
            </wp:positionH>
            <wp:positionV relativeFrom="page">
              <wp:posOffset>93345</wp:posOffset>
            </wp:positionV>
            <wp:extent cx="59690" cy="41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9690" cy="419735"/>
                    </a:xfrm>
                    <a:prstGeom prst="rect">
                      <a:avLst/>
                    </a:prstGeom>
                    <a:noFill/>
                  </pic:spPr>
                </pic:pic>
              </a:graphicData>
            </a:graphic>
          </wp:anchor>
        </w:drawing>
        <w:drawing>
          <wp:anchor simplePos="0" relativeHeight="251657728" behindDoc="1" locked="0" layoutInCell="0" allowOverlap="1">
            <wp:simplePos x="0" y="0"/>
            <wp:positionH relativeFrom="page">
              <wp:posOffset>7357110</wp:posOffset>
            </wp:positionH>
            <wp:positionV relativeFrom="page">
              <wp:posOffset>88900</wp:posOffset>
            </wp:positionV>
            <wp:extent cx="59690" cy="450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9690" cy="450215"/>
                    </a:xfrm>
                    <a:prstGeom prst="rect">
                      <a:avLst/>
                    </a:prstGeom>
                    <a:noFill/>
                  </pic:spPr>
                </pic:pic>
              </a:graphicData>
            </a:graphic>
          </wp:anchor>
        </w:drawing>
        <w:drawing>
          <wp:anchor simplePos="0" relativeHeight="251657728" behindDoc="1" locked="0" layoutInCell="0" allowOverlap="1">
            <wp:simplePos x="0" y="0"/>
            <wp:positionH relativeFrom="page">
              <wp:posOffset>6550660</wp:posOffset>
            </wp:positionH>
            <wp:positionV relativeFrom="page">
              <wp:posOffset>93345</wp:posOffset>
            </wp:positionV>
            <wp:extent cx="59690" cy="419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9690" cy="419735"/>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12" Type="http://schemas.openxmlformats.org/officeDocument/2006/relationships/hyperlink" Target="http://www.sec.gov/cgi-bin/browse-edgar?action=getcompany&amp;CIK=00013304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2019-12-07T01:59:40Z</dcterms:created>
  <dcterms:modified xsi:type="dcterms:W3CDTF">2019-12-07T01:59:40Z</dcterms:modified>
</cp:coreProperties>
</file>