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40"/>
        <w:spacing w:after="0"/>
        <w:rPr>
          <w:sz w:val="20"/>
          <w:szCs w:val="20"/>
          <w:color w:val="auto"/>
        </w:rPr>
      </w:pPr>
      <w:r>
        <w:rPr>
          <w:rFonts w:ascii="Arial" w:cs="Arial" w:eastAsia="Arial" w:hAnsi="Arial"/>
          <w:sz w:val="18"/>
          <w:szCs w:val="18"/>
          <w:b w:val="1"/>
          <w:bCs w:val="1"/>
          <w:color w:val="auto"/>
        </w:rPr>
        <w:t>DLA Piper LLP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9335"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600075"/>
                    </a:xfrm>
                    <a:prstGeom prst="rect">
                      <a:avLst/>
                    </a:prstGeom>
                    <a:noFill/>
                  </pic:spPr>
                </pic:pic>
              </a:graphicData>
            </a:graphic>
          </wp:anchor>
        </w:drawing>
      </w:r>
    </w:p>
    <w:p>
      <w:pPr>
        <w:spacing w:after="0" w:line="7" w:lineRule="exact"/>
        <w:rPr>
          <w:sz w:val="24"/>
          <w:szCs w:val="24"/>
          <w:color w:val="auto"/>
        </w:rPr>
      </w:pPr>
    </w:p>
    <w:p>
      <w:pPr>
        <w:ind w:left="7440"/>
        <w:spacing w:after="0"/>
        <w:rPr>
          <w:sz w:val="20"/>
          <w:szCs w:val="20"/>
          <w:color w:val="auto"/>
        </w:rPr>
      </w:pPr>
      <w:r>
        <w:rPr>
          <w:rFonts w:ascii="Arial" w:cs="Arial" w:eastAsia="Arial" w:hAnsi="Arial"/>
          <w:sz w:val="17"/>
          <w:szCs w:val="17"/>
          <w:color w:val="auto"/>
        </w:rPr>
        <w:t>51 John F. Kennedy Parkway, Suite 120</w:t>
      </w:r>
    </w:p>
    <w:p>
      <w:pPr>
        <w:spacing w:after="0" w:line="21"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Short Hills, NJ 07078-2704</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www.dlapiper.com</w:t>
      </w:r>
    </w:p>
    <w:p>
      <w:pPr>
        <w:spacing w:after="0" w:line="211"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Andrew P. Gilbert</w:t>
      </w:r>
    </w:p>
    <w:p>
      <w:pPr>
        <w:spacing w:after="0" w:line="23"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andrew.gilbert@dlapiper.com</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T 973.520.2553</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F 973.520.2573</w:t>
      </w:r>
    </w:p>
    <w:p>
      <w:pPr>
        <w:spacing w:after="0" w:line="211" w:lineRule="exact"/>
        <w:rPr>
          <w:sz w:val="24"/>
          <w:szCs w:val="24"/>
          <w:color w:val="auto"/>
        </w:rPr>
      </w:pPr>
    </w:p>
    <w:p>
      <w:pPr>
        <w:ind w:left="7440"/>
        <w:spacing w:after="0"/>
        <w:rPr>
          <w:sz w:val="20"/>
          <w:szCs w:val="20"/>
          <w:color w:val="auto"/>
        </w:rPr>
      </w:pPr>
      <w:r>
        <w:rPr>
          <w:rFonts w:ascii="Arial" w:cs="Arial" w:eastAsia="Arial" w:hAnsi="Arial"/>
          <w:sz w:val="16"/>
          <w:szCs w:val="16"/>
          <w:i w:val="1"/>
          <w:iCs w:val="1"/>
          <w:color w:val="auto"/>
        </w:rPr>
        <w:t>Partners Responsible for Short Hills Office:</w:t>
      </w:r>
    </w:p>
    <w:p>
      <w:pPr>
        <w:spacing w:after="0" w:line="46" w:lineRule="exact"/>
        <w:rPr>
          <w:sz w:val="24"/>
          <w:szCs w:val="24"/>
          <w:color w:val="auto"/>
        </w:rPr>
      </w:pPr>
    </w:p>
    <w:p>
      <w:pPr>
        <w:ind w:left="7440"/>
        <w:spacing w:after="0"/>
        <w:rPr>
          <w:sz w:val="20"/>
          <w:szCs w:val="20"/>
          <w:color w:val="auto"/>
        </w:rPr>
      </w:pPr>
      <w:r>
        <w:rPr>
          <w:rFonts w:ascii="Arial" w:cs="Arial" w:eastAsia="Arial" w:hAnsi="Arial"/>
          <w:sz w:val="18"/>
          <w:szCs w:val="18"/>
          <w:i w:val="1"/>
          <w:iCs w:val="1"/>
          <w:color w:val="auto"/>
        </w:rPr>
        <w:t>Andrew P. Gilbert</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i w:val="1"/>
          <w:iCs w:val="1"/>
          <w:color w:val="auto"/>
        </w:rPr>
        <w:t>Michael E. Helmer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24,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Judiciary Plaza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Russell Mancuso</w:t>
      </w:r>
    </w:p>
    <w:p>
      <w:pPr>
        <w:sectPr>
          <w:pgSz w:w="11900" w:h="16838" w:orient="portrait"/>
          <w:cols w:equalWidth="0" w:num="1">
            <w:col w:w="11420"/>
          </w:cols>
          <w:pgMar w:left="240" w:top="445" w:right="23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Liquidia Technologies,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2 to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July 23, 2018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333-225960</w:t>
      </w:r>
    </w:p>
    <w:p>
      <w:pPr>
        <w:spacing w:after="0" w:line="200" w:lineRule="exact"/>
        <w:rPr>
          <w:sz w:val="24"/>
          <w:szCs w:val="24"/>
          <w:color w:val="auto"/>
        </w:rPr>
      </w:pPr>
    </w:p>
    <w:p>
      <w:pPr>
        <w:sectPr>
          <w:pgSz w:w="11900" w:h="16838" w:orient="portrait"/>
          <w:cols w:equalWidth="0" w:num="2">
            <w:col w:w="280" w:space="380"/>
            <w:col w:w="10760"/>
          </w:cols>
          <w:pgMar w:left="240" w:top="445"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This letter is submitted on behalf of Liquidia Technologies, Inc. (the “Company”) in response to the verbal comments of the staff of the Division of Corporation Finance (the “Staff”) of the Securities and Exchange Commission (the “Commission”) with respect to the Company’s Amendment No. 2, filed on July 23, 2018, to the Registration Statement on Form S-1 filed on June 28, 2018 (the “Registration Statement”).</w:t>
      </w:r>
    </w:p>
    <w:p>
      <w:pPr>
        <w:spacing w:after="0" w:line="181" w:lineRule="exact"/>
        <w:rPr>
          <w:sz w:val="24"/>
          <w:szCs w:val="24"/>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responses provided herein are based upon information provided to DLA Piper LLP (US) by the Company. For your convenience, we have italicized the reproduced Staff verbal comment. Unless otherwise indicated, page references in the Company’s responses refer to Amendment No. 2. All capitalized terms used and not otherwise defined herein shall have the meanings set forth in Amendment No. 2.</w:t>
      </w:r>
    </w:p>
    <w:p>
      <w:pPr>
        <w:spacing w:after="0" w:line="166" w:lineRule="exact"/>
        <w:rPr>
          <w:sz w:val="24"/>
          <w:szCs w:val="24"/>
          <w:color w:val="auto"/>
        </w:rPr>
      </w:pPr>
    </w:p>
    <w:p>
      <w:pPr>
        <w:ind w:left="660" w:right="3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revised disclosure on page 16. Please tell us why the COPD program will not continue, and provide us your analysis as to whether those reasons must be disclosed in your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660"/>
        <w:spacing w:after="0" w:line="270" w:lineRule="auto"/>
        <w:rPr>
          <w:rFonts w:ascii="Arial" w:cs="Arial" w:eastAsia="Arial" w:hAnsi="Arial"/>
          <w:sz w:val="18"/>
          <w:szCs w:val="18"/>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acknowledges the Staff’s comment and respectfully advises the Staff that GSK informed the Company that it was not</w:t>
      </w:r>
      <w:r>
        <w:rPr>
          <w:rFonts w:ascii="Arial" w:cs="Arial" w:eastAsia="Arial" w:hAnsi="Arial"/>
          <w:sz w:val="17"/>
          <w:szCs w:val="17"/>
          <w:b w:val="1"/>
          <w:bCs w:val="1"/>
          <w:color w:val="auto"/>
        </w:rPr>
        <w:t xml:space="preserve"> </w:t>
      </w:r>
      <w:r>
        <w:rPr>
          <w:rFonts w:ascii="Arial" w:cs="Arial" w:eastAsia="Arial" w:hAnsi="Arial"/>
          <w:sz w:val="17"/>
          <w:szCs w:val="17"/>
          <w:color w:val="auto"/>
        </w:rPr>
        <w:t>going to continue the early stage COPD program after completion of its related Phase 1 clinical trial primarily because of a reprioritization of GSK’s early stage product candidate portfolio. Pharmaceutical and biotechnology companies routinely discontinue programs for a variety of reasons. GSK has not communicated to the Company any concerns regarding the technical aspects of the Company’s PRINT technology as a factor in its decision. GSK has not terminated the GSK ICO agreement and it continues in effect. As disclosed on page 16 and elsewhere in the Registration Statement, GSK continues to express an interest in using PRINT technology for new inhaled programs. The disclosure of the July 20, 2018 formal notice from GSK of its determination to discontinue the COPD program was merely a formality and was consistent with the Company’s prior disclosure included in its preliminary prospectus. The Company has disclosed the fact that it does not anticipate any near term revenue from the ICO Agreement and had previously ceased to incur related expenses. For the foregoing reasons, the Company does not believe that the COPD program was material to the Company and the relevant facts regarding the termination are also not material. As such, the Company believes that its disclosure regarding the COPD program is appropriate.</w:t>
      </w:r>
    </w:p>
    <w:p>
      <w:pPr>
        <w:spacing w:after="0" w:line="178"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-2156460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[Signature page immediately follows.]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have any questions regarding the foregoing responses or otherwise, please do not hesitate to call me at (973) 520-2553.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DLA Piper LLP (US)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 Andrew P. Gilbert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Andrew P. Gilbert</w:t>
      </w:r>
    </w:p>
    <w:p>
      <w:pPr>
        <w:sectPr>
          <w:pgSz w:w="11900" w:h="16838" w:orient="portrait"/>
          <w:cols w:equalWidth="0" w:num="1">
            <w:col w:w="11420"/>
          </w:cols>
          <w:pgMar w:left="240" w:top="44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Partner</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Neal F. Fowler, Liquidia Technologies, Inc.</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2019-12-07T01:54:13Z</dcterms:created>
  <dcterms:modified xsi:type="dcterms:W3CDTF">2019-12-07T01:54:13Z</dcterms:modified>
</cp:coreProperties>
</file>